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NW_29998 (Nordrhein-Westfalen) — Geldleistungen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Zeit, während derer schuldhaft gegen die Vorschriften des § 16 Absätze 2, 3 oder 4, § 17 Absatz 1, 2, 3, 6 oder 7, § 21 Absatz 1 Satz 1 oder 6 sowie Absatz 2, 3, 6 oder 7, § 25 Absatz 2 dieses Gesetzes oder der §§ 8, 8 a, 8 b oder 9 WoBindG verstoßen wird, kann die zuständige Stelle durch schriftlichen oder elektronischen Verwaltungsakt von dem Verfügungsberechtigten Geldleistungen bis zu 5 Euro je Quadratmeter Wohnfläche des Wohnraums monatlich erheben, auf die sich der Verstoß bezieht. Für die Bemessung der Geldleistungen sind ausschließlich der Wohnwert des Wohnraums und die Schwere des Verstoßes maßgebend. Rechtsmittel gegen die Erhebung von Geldleistungen besitzen keine aufschiebende Wirkung im Sinne des § 80 Absatz 1 der Verwaltungsgerichtsordnung.</w:t>
      </w:r>
    </w:p>
    <w:p>
      <w:r>
        <w:t xml:space="preserve">(2) Weitergehende vertragliche Verpflichtungen der in diesem Gesetz bestimmten Art, die im Zusammenhang mit der Gewährung öffentlicher Mittel vertraglich begründet worden sind, bleiben wirksam, soweit sie über die Verpflichtungen aus diesem Gesetz hinausgehen und keine Geldleistungen nach Absatz 1 entrichtet worden sind; andersartige Verpflichtungen bleiben unberührt.</w:t>
      </w:r>
    </w:p>
    <w:p>
      <w:r>
        <w:t xml:space="preserve">(3) Die zuständige Stelle hat die nach Absatz 1 eingezogenen Geldleistungen jeweils vierteljährlich zum Quartalsende an die NRW.BANK abzuführen.</w:t>
      </w:r>
    </w:p>
    <w:p>
      <w:r>
        <w:rPr>
          <w:color w:val="555555"/>
          <w:sz w:val="17"/>
        </w:rPr>
        <w:t xml:space="preserve">Zitiervorschlag: § 26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