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NW_29998 (Nordrhein-Westfalen) — Bestätigung</w:t>
      </w:r>
    </w:p>
    <w:p>
      <w:r>
        <w:rPr>
          <w:color w:val="555555"/>
          <w:sz w:val="18"/>
        </w:rPr>
        <w:t xml:space="preserve">WFNG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zuständige Stelle hat dem Verfügungsberechtigten und bei berechtigtem Interesse auch Dritten schriftlich oder elektronisch zu bestätigen, von welchem Zeitpunkt an die wegen der Gewährung von Fördermitteln begründeten Zweckbestimmungen entfallen.</w:t>
      </w:r>
    </w:p>
    <w:p>
      <w:r>
        <w:t xml:space="preserve">(2) Die Bestätigung ist auch für die Anwendung der Rechtsvorschriften außerhalb dieses Gesetzes in tatsächlicher und rechtlicher Hinsicht verbindlich.</w:t>
      </w:r>
    </w:p>
    <w:p>
      <w:r>
        <w:t xml:space="preserve">Teil 6</w:t>
      </w:r>
    </w:p>
    <w:p>
      <w:r>
        <w:t xml:space="preserve">Sicherung der Zweckbestimmungen</w:t>
      </w:r>
    </w:p>
    <w:p>
      <w:r>
        <w:rPr>
          <w:color w:val="555555"/>
          <w:sz w:val="17"/>
        </w:rPr>
        <w:t xml:space="preserve">Zitiervorschlag: § 24 NW_29998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https://recht.nulegal.eu/gesetze/NW_29998/24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NW_29998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