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NW_29998 (Nordrhein-Westfalen) — Instandhaltungspflicht, Nutzungsänderungen</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Wohnraum ist vom Verfügungsberechtigten so zu erhalten und wiederherzustellen, dass der ordnungsgemäße Gebrauch zu Wohnzwecken gewährleistet ist. Liegen der zuständigen Stelle Anhaltspunkte für einen Verstoß gegen Satz 1 vor, so trifft sie die zur Ermittlung des Sachverhalts geeigneten Maßnahmen. Besteht aufgrund der Sachverhaltsermittlung nach Satz 2 hinreichender Anlass für die Annahme, dass die Beeinträchtigung des ordnungsgemäßen Gebrauchs zu Wohnzwecken bauseitig begründet ist, so hat der Verfügungsberechtigte auf Verlangen der zuständigen Stelle die weitere notwendige Sachaufklärung durchzuführen. Die Kosten der nach Satz 3 angeordneten Maßnahmen trägt der Verfügungsberechtigte. Bestätigt sich die Annahme nach Satz 3 nicht, so sind dem Verfügungsberechtigten die Kosten zu erstatten. Sind entgegen der Verpflichtung nach Satz 1 notwendige Arbeiten am Wohnraum unterblieben, so hat der Verfügungsberechtigte diese Arbeiten auf Anordnung der zuständigen Stelle nachzuholen. Die Anordnung setzt voraus, dass der Gebrauch zu Wohnzwecken erheblich beeinträchtigt ist oder die Gefahr einer erheblichen Beeinträchtigung besteht und ihre Vornahme verhältnismäßig ist. Die Kosten einer Ersatzvornahme von Anordnungen ruhen als öffentliche Last auf dem Grundstück beziehungsweise auf dem Erbbaurecht am Grundstück.</w:t>
      </w:r>
    </w:p>
    <w:p>
      <w:r>
        <w:t xml:space="preserve">(2) Der Verfügungsberechtigte darf Wohnraum nur mit schriftlicher oder elektronischer Genehmigung der zuständigen Stelle länger als drei Monate leer stehen lassen. Die Genehmigung ist nicht erforderlich, wenn die zuständige Stelle bescheinigt, dass eine Vermietung objektiv nicht möglich ist oder der Verfügungsberechtigte die Unvermietbarkeit nicht zu vertreten hat. Die Genehmigung erfordert regelmäßig einen Förderausgleich angemessener Art und Weise. Beruht ein ungenehmigter Leerstand auf einem Handeln, Dulden oder Unterlassen des Verfügungsberechtigten, so hat er den Wohnraum auf Verlangen der zuständigen Stelle einer wohnungssuchenden Person gemäß § 17 zum Gebrauch zu überlassen.</w:t>
      </w:r>
    </w:p>
    <w:p>
      <w:r>
        <w:t xml:space="preserve">(3) Der Wohnraum darf ohne schriftliche oder elektronische Genehmigung der zuständigen Stelle nicht anderen als Wohnzwecken zugeführt oder durch bauliche Maßnahmen derart verändert werden, dass er für Wohnzwecke nicht mehr geeignet ist. Die Genehmigung kann erteilt werden, wenn ein öffentliches Interesse an den Bindungen nicht mehr besteht oder ein überwiegendes öffentliches Interesse oder ein überwiegendes berechtigtes Interesse des Verfügungsberechtigten oder eines Dritten an der anderen Verwendung oder baulichen Veränderung des Wohnraums besteht und die angemessene Unterbringung der bisherigen Wohnrauminhaber sichergestellt ist. Im Falle eines überwiegenden berechtigten Interesses des Verfügungsberechtigten oder eines Dritten erfordert die Genehmigung regelmäßig einen Förderausgleich angemessener Art und Weise. Wer den Vorschriften dieses Absatzes oder des Absatzes 1 zuwiderhandelt, hat auf Verlangen der zuständigen Stelle die Eignung des Wohnraums für Wohnzwecke auf seine Kosten wiederherzustellen und den Wohnraum auf Verlangen der zuständigen Stelle einer wohnungssuchenden Person gemäß § 17 zum Gebrauch zu überlassen.</w:t>
      </w:r>
    </w:p>
    <w:p>
      <w:r>
        <w:t xml:space="preserve">(4) Werden die Zubehörräume einer geförderten Wohnung mit oder ohne wesentlichen Bauaufwand ohne Genehmigung der Bewilligungsbehörde zu Wohnraum ausgebaut, so gilt er als gefördert im Sinne des § 1.</w:t>
      </w:r>
    </w:p>
    <w:p>
      <w:r>
        <w:t xml:space="preserve">(5) Werden geförderte Wohnungen aus- oder umgebaut, so gilt der neugeschaffene Wohnraum als gefördert im Sinne des § 1; dies gilt nicht, wenn vor dem Aus- oder Umbau die für die Wohnung als Darlehen bewilligten Mittel zurückgezahlt wurden. Ist der Aus- oder Umbau gefördert worden, so gilt nur die mit der neuen Förderung verbundene Zweckbestimmung. Die bisherige Zweckbestimmung entfällt im Zeitpunkt der erneuten Förderung.</w:t>
      </w:r>
    </w:p>
    <w:p>
      <w:r>
        <w:t xml:space="preserve">(6) Der bisherige Verfügungsberechtigte hat der zuständigen Stelle die Veräußerung von Wohnraum sowie eine von ihm eingeleitete Begründung von Wohnungseigentum unverzüglich schriftlich oder elektronisch mitzuteilen. Für den neuen Verfügungsberechtigten besteht dieselbe Mitteilungspflicht bezüglich des Erwerbs von Wohnraum. Die zuständige Stelle hat aufgrund der Mitteilungen nach Satz 1 oder 2 den Erwerber und den Mieter über die sich aus dem Erwerb oder der Umwandlung ergebenden Rechtsfolgen zu unterrichten.</w:t>
      </w:r>
    </w:p>
    <w:p>
      <w:r>
        <w:t xml:space="preserve">(7) Der Vermieter, der Wohnraum erworben hat, an dem nach der Überlassung an einen Mieter Wohnungseigentum begründet worden ist, darf sich dem Mieter gegenüber auf berechtigte Interessen an der Beendigung des Mietverhältnisses im Sinne des § 573 Absatz 2 Nummer 2 des Bürgerlichen Gesetzbuchs nicht berufen, solange der Wohnraum Zweckbestimmungen unterliegt. Im Übrigen bleibt § 577 a Absätze 1 und 2 des Bürgerlichen Gesetzbuchs unberührt, soweit in dieser Bestimmung auf § 573 Absatz 2 Nummer 2 des Bürgerlichen Gesetzbuchs verwiesen wird.</w:t>
      </w:r>
    </w:p>
    <w:p>
      <w:r>
        <w:t xml:space="preserve">Teil 5</w:t>
      </w:r>
    </w:p>
    <w:p>
      <w:r>
        <w:t xml:space="preserve">Beendigung der Zweckbindung</w:t>
      </w:r>
    </w:p>
    <w:p>
      <w:r>
        <w:rPr>
          <w:color w:val="555555"/>
          <w:sz w:val="17"/>
        </w:rPr>
        <w:t xml:space="preserve">Zitiervorschlag: § 21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