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NW_29998 (Nordrhein-Westfalen) — Ziele, Zielgruppe</w:t>
      </w:r>
    </w:p>
    <w:p>
      <w:r>
        <w:rPr>
          <w:color w:val="555555"/>
          <w:sz w:val="18"/>
        </w:rPr>
        <w:t xml:space="preserve">WFNG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Ziele der öffentlichen Wohnraumförderung sind:</w:t>
      </w:r>
    </w:p>
    <w:p>
      <w:r>
        <w:t xml:space="preserve">1. Wohnraum für Haushalte zu schaffen, die sich am Markt nicht angemessen mit Wohnraum versorgen können und auf Unterstützung angewiesen sind,</w:t>
      </w:r>
    </w:p>
    <w:p>
      <w:r>
        <w:t xml:space="preserve">2. bestehenden Wohnraum an die Erfordernisse des demographischen Wandels anzupassen und energetisch nachzurüsten,</w:t>
      </w:r>
    </w:p>
    <w:p>
      <w:r>
        <w:t xml:space="preserve">3. die städtebauliche Funktion von Wohnquartieren zu erhalten und zu stärken.</w:t>
      </w:r>
    </w:p>
    <w:p>
      <w:r>
        <w:t xml:space="preserve">Bei der öffentlichen Wohnraumförderung und der Sicherung der Zweckbestimmungen des geförderten Wohnungsbestandes werden insbesondere Familien und andere Haushalte mit Kindern, Alleinerziehende, Schwangere, ältere Menschen und Menschen mit Behinderung sowie besondere Bedarfsgruppen, wie Studierende und Auszubildende und besonders schutzbedürftige vulnerable Personengruppen, die ihren Wohnraum durch häusliche Gewalt verlieren, unterstützt.</w:t>
      </w:r>
    </w:p>
    <w:p>
      <w:r>
        <w:t xml:space="preserve">(2) Zielgruppe der öffentlichen Wohnraumförderung sind Haushalte, deren nach §§ 14 und 15 anrechenbares Gesamteinkommen die Einkommensgrenze nach § 13 nicht überschreitet. Soweit es zur Erreichung der Ziele nach Absatz 1 unter Berücksichtigung der örtlichen wohnungswirtschaftlichen Verhältnisse geboten ist, kann das für das Wohnungswesen zuständige Ministerium Abweichungen von der Einkommensgrenze zulassen oder von der Einkommensgrenze absehen.</w:t>
      </w:r>
    </w:p>
    <w:p>
      <w:r>
        <w:rPr>
          <w:color w:val="555555"/>
          <w:sz w:val="17"/>
        </w:rPr>
        <w:t xml:space="preserve">Zitiervorschlag: § 2 NW_29998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