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NW_29998 (Nordrhein-Westfalen) — Anwendungsbereich</w:t>
      </w:r>
    </w:p>
    <w:p>
      <w:r>
        <w:rPr>
          <w:color w:val="555555"/>
          <w:sz w:val="18"/>
        </w:rPr>
        <w:t xml:space="preserve">WFNG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gilt für Wohnraum, der</w:t>
      </w:r>
    </w:p>
    <w:p>
      <w:r>
        <w:t xml:space="preserve">1. nach diesem Gesetz gefördert wird,</w:t>
      </w:r>
    </w:p>
    <w:p>
      <w:r>
        <w:t xml:space="preserve">2. nach dem Gesetz über die soziale Wohnraumförderung (Wohnraumförderungsgesetz – WoFG) vom 13. September 2001 (BGBl. I S. 2376), zuletzt geändert durch Gesetz vom 28. März 2009 (BGBl. I S. 634) oder</w:t>
      </w:r>
    </w:p>
    <w:p>
      <w:r>
        <w:t xml:space="preserve">3. nach dem Ersten Wohnungsbaugesetz (I. WoBauG) oder dem Zweiten Wohnungsbaugesetz (II. WoBauG) gefördert worden ist oder als gefördert gilt.</w:t>
      </w:r>
    </w:p>
    <w:p>
      <w:r>
        <w:t xml:space="preserve">Satz 1 Nummer 3 gilt mit Ausnahme der Regelungen des Teils 7 nicht für Wohnheime und für nach § 87 a des Zweiten Wohnungsbaugesetzes geförderten Wohnraum.</w:t>
      </w:r>
    </w:p>
    <w:p>
      <w:r>
        <w:t xml:space="preserve">(2) Absatz 1 gilt nicht für Wohnraum im Sinne des § 2 des Gesetzes zur Überleitung der sozialen Wohnraumförderung auf die Länder (Wohnraumförderung-Überleitungsgesetz – WoFÜG), vom 5. September 2006 (BGBl. I S. 2098, 2100), geändert durch Gesetz vom 9. November 2012 (BGBl. I S. 2291).</w:t>
      </w:r>
    </w:p>
    <w:p>
      <w:r>
        <w:rPr>
          <w:color w:val="555555"/>
          <w:sz w:val="17"/>
        </w:rPr>
        <w:t xml:space="preserve">Zitiervorschlag: § 1 NW_29998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