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NW_29992 (Nordrhein-Westfalen) — Gleichwertige Nachweise</w:t>
      </w:r>
    </w:p>
    <w:p>
      <w:r>
        <w:rPr>
          <w:color w:val="555555"/>
          <w:sz w:val="18"/>
        </w:rPr>
        <w:t xml:space="preserve">Verordnung über bauordnungsrechtliche Regelungen für Bauprodukte und Bauarten (Bauprodukte- und Bauartenverordnung – BauPAVO NRW)*)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Fachkräfte mit besonderer Sachkunde und Erfahrung sowie besondere Vorrichtungen nach § 3 Satz 1 sind nicht erforderlich, wenn mit einer anderen Lösung in gleichem Maße die allgemeinen Anforderungen des § 3 Absatz 1 Satz 1 BauO NRW 2018 erfüllt werden.</w:t>
      </w:r>
    </w:p>
    <w:p>
      <w:r>
        <w:t xml:space="preserve">(2) Die Erfüllung der Anforderungen nach § 3 Satz 2 kann auch durch gleichwertige Nachweise anderer Mitgliedstaaten der Europäischen Union belegt werden.</w:t>
      </w:r>
    </w:p>
    <w:p>
      <w:r>
        <w:t xml:space="preserve">(3) Die oberste Bauaufsichtsbehörde kann im Einzelfall gestatten, dass Bauprodukte, Bauarten oder Teile baulicher Anlagen abweichend von den Regelungen in den §§ 3 und 4 hergestellt werden, wenn nachgewiesen ist, dass Gefahren im Sinne des § 3 Absatz 1 Satz 1 BauO NRW 2018 nicht zu erwarten sind.</w:t>
      </w:r>
    </w:p>
    <w:p>
      <w:r>
        <w:t xml:space="preserve">Teil 3</w:t>
      </w:r>
    </w:p>
    <w:p>
      <w:r>
        <w:t xml:space="preserve">Überwachung von Tätigkeiten mit Bauprodukten und bei Bauarten</w:t>
      </w:r>
    </w:p>
    <w:p>
      <w:r>
        <w:rPr>
          <w:color w:val="555555"/>
          <w:sz w:val="17"/>
        </w:rPr>
        <w:t xml:space="preserve">Zitiervorschlag: § 5 NW_29992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https://recht.nulegal.eu/gesetze/NW_29992/5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