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NW_29992 (Nordrhein-Westfalen) — Nachweise</w:t>
      </w:r>
    </w:p>
    <w:p>
      <w:r>
        <w:rPr>
          <w:color w:val="555555"/>
          <w:sz w:val="18"/>
        </w:rPr>
        <w:t xml:space="preserve">Verordnung über bauordnungsrechtliche Regelungen für Bauprodukte und Bauarten (Bauprodukte- und Bauartenverordnung – BauPAVO NRW)*)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Hersteller und die Anwender haben vor der erstmaligen Durchführung der Arbeiten nach § 3 und danach für Tätigkeiten nach</w:t>
      </w:r>
    </w:p>
    <w:p>
      <w:r>
        <w:t xml:space="preserve">1. § 3 Satz 1 Nummer 1 bis 3 und 5 bis 7 in Abständen von höchstens drei Jahren und</w:t>
      </w:r>
    </w:p>
    <w:p>
      <w:r>
        <w:t xml:space="preserve">2. § 3 Satz 1 Nummer 4 in Abständen von höchstens fünf Jahren</w:t>
      </w:r>
    </w:p>
    <w:p>
      <w:r>
        <w:t xml:space="preserve">gegenüber einer nach § 25 Absatz 1 Satz 1 Nummer 6 BauO NRW 2018 anerkannten Prüfstelle nachzuweisen, dass sie über die vorgeschriebenen Fachkräfte und Vorrichtungen verfügen. Für die in § 3 aufgeführten Bauprodukte und Bauarten gelten bis zum 31. Dezember 2020 auch folgende Stellen als Prüfstelle nach § 25 Absatz 1 Satz 1 Nummer 6 BauO NRW 2018:</w:t>
      </w:r>
    </w:p>
    <w:p>
      <w:r>
        <w:t xml:space="preserve">1. die Überwachungsstellen für die Fremdüberwachung nach § 25 Absatz 1 Satz 1 Nummer 4 BauO NRW 2018 und</w:t>
      </w:r>
    </w:p>
    <w:p>
      <w:r>
        <w:t xml:space="preserve">2. die Stellen, die in den vom Deutschen Institut für Bautechnik veröffentlichten Verzeichnissen der Stellen für Eignungsnachweise zum Schweißen von Stahl- und Aluminiumkonstruktionen und von Betonstahl geführt und tätig waren.</w:t>
      </w:r>
    </w:p>
    <w:p>
      <w:r>
        <w:rPr>
          <w:color w:val="555555"/>
          <w:sz w:val="17"/>
        </w:rPr>
        <w:t xml:space="preserve">Zitiervorschlag: § 4 NW_29992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https://recht.nulegal.eu/gesetze/NW_29992/4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