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NW_29992 (Nordrhein-Westfalen) — Ausnahmen</w:t>
      </w:r>
    </w:p>
    <w:p>
      <w:r>
        <w:rPr>
          <w:color w:val="555555"/>
          <w:sz w:val="18"/>
        </w:rPr>
        <w:t xml:space="preserve">Verordnung über bauordnungsrechtliche Regelungen für Bauprodukte und Bauarten (Bauprodukte- und Bauartenverordnung – BauPAVO NRW)*)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18 Absatz 2 BauO NRW 2018 bleibt unberührt. § 1 findet keine Anwendung auf Bauprodukte, die die CE-Kennzeichnung auf Grund der Verordnung (EU) Nr. 305/2011 des Europäischen Parlaments und des Rates vom 9. März 2011 zur Festlegung harmonisierter Bedingungen für die Vermarktung von Bauprodukten und zur Aufhebung der Richtlinie 89/106/EWG des Rates (ABl. L 88 vom 4.4.2011, S. 5, L 103 vom 12.4.2013, S. 10, L 92 vom 8.4.2015, S. 118), die zuletzt durch Verordnung (EU) Nr. 574/2014 (ABl. L 159 vom 28.5.2014, S. 41) geändert worden ist, tragen.</w:t>
      </w:r>
    </w:p>
    <w:p>
      <w:r>
        <w:t xml:space="preserve">Teil 2</w:t>
      </w:r>
    </w:p>
    <w:p>
      <w:r>
        <w:t xml:space="preserve">Hersteller von Bauprodukten und Anwender von Bauarten</w:t>
      </w:r>
    </w:p>
    <w:p>
      <w:r>
        <w:rPr>
          <w:color w:val="555555"/>
          <w:sz w:val="17"/>
        </w:rPr>
        <w:t xml:space="preserve">Zitiervorschlag: § 2 NW_29992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https://recht.nulegal.eu/gesetze/NW_29992/2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