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NW_29992 (Nordrhein-Westfalen) — Übergangsvorschrift</w:t>
      </w:r>
    </w:p>
    <w:p>
      <w:r>
        <w:rPr>
          <w:color w:val="555555"/>
          <w:sz w:val="18"/>
        </w:rPr>
        <w:t xml:space="preserve">Verordnung über bauordnungsrechtliche Regelungen für Bauprodukte und Bauarten (Bauprodukte- und Bauartenverordnung – BauPAVO NRW)*)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Personen, die zum Zeitpunkt des Inkrafttretens dieser Verordnung die Leitungstätigkeit einer nach bisherigem Recht anerkannten Prüfstelle oder Überwachungsgemeinschaft ausüben, sind für die entsprechenden Bauprodukte von der Forderung des § 9 Absatz 1 Satz 2 befreit.</w:t>
      </w:r>
    </w:p>
    <w:p>
      <w:r>
        <w:t xml:space="preserve">Teil 6</w:t>
      </w:r>
    </w:p>
    <w:p>
      <w:r>
        <w:t xml:space="preserve">Schlussbestimmungen</w:t>
      </w:r>
    </w:p>
    <w:p>
      <w:r>
        <w:rPr>
          <w:color w:val="555555"/>
          <w:sz w:val="17"/>
        </w:rPr>
        <w:t xml:space="preserve">Zitiervorschlag: § 14 NW_29992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https://recht.nulegal.eu/gesetze/NW_29992/14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