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NW_29990 (Nordrhein-Westfalen) — Inkrafttreten</w:t>
      </w:r>
    </w:p>
    <w:p>
      <w:r>
        <w:rPr>
          <w:color w:val="555555"/>
          <w:sz w:val="18"/>
        </w:rPr>
        <w:t xml:space="preserve">Gewerberechtsverordnung -GewRV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28. Dezember 2009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Ministerin</w:t>
      </w:r>
    </w:p>
    <w:p>
      <w:r>
        <w:t xml:space="preserve">für Wirtschaft, Mittelstand und Energie</w:t>
      </w:r>
    </w:p>
    <w:p>
      <w:r>
        <w:t xml:space="preserve">zugleich</w:t>
      </w:r>
    </w:p>
    <w:p>
      <w:r>
        <w:t xml:space="preserve">für den Ministerpräsidenten</w:t>
      </w:r>
    </w:p>
    <w:p>
      <w:r>
        <w:t xml:space="preserve">Der Innenminister</w:t>
      </w:r>
    </w:p>
    <w:p>
      <w:r>
        <w:rPr>
          <w:color w:val="555555"/>
          <w:sz w:val="17"/>
        </w:rPr>
        <w:t xml:space="preserve">Zitiervorschlag: § 4 NW_29990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https://recht.nulegal.eu/gesetze/NW_29990/4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