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NW_29990 (Nordrhein-Westfalen) — Verordnungsermächtigung nach Titel IV der Gewerbeordnung</w:t>
      </w:r>
    </w:p>
    <w:p>
      <w:r>
        <w:rPr>
          <w:color w:val="555555"/>
          <w:sz w:val="18"/>
        </w:rPr>
        <w:t xml:space="preserve">Gewerberechtsverordnung -GewRV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die örtlichen Ordnungsbehörden wird die Ermächtigung nach § 67 Absatz 2 der Gewerbeordnung übertragen zu bestimmen, dass über die in § 67 Absatz 1 der Gewerbeordnung aufgeführten Warenarten hinaus bestimmte Waren des täglichen Bedarfs auf allen oder bestimmten Wochenmärkten feilgeboten werden dürfen.</w:t>
      </w:r>
    </w:p>
    <w:p>
      <w:r>
        <w:t xml:space="preserve">(2) Auf die für Gewerberecht zuständige oberste Landesbehörde wird gemäß den §§ 67 Absatz 2, 155 Absatz 3 der Gewerbeordnung die Befugnis übertragen, die Ermächtigung der örtlichen Ordnungsbehörden nach Absatz 1 zu ändern oder aufzuheben.</w:t>
      </w:r>
    </w:p>
    <w:p>
      <w:r>
        <w:rPr>
          <w:color w:val="555555"/>
          <w:sz w:val="17"/>
        </w:rPr>
        <w:t xml:space="preserve">Zitiervorschlag: § 1 NW_29990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