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NW_29969 (Nordrhein-Westfalen) — Religionsausübung</w:t>
      </w:r>
    </w:p>
    <w:p>
      <w:r>
        <w:rPr>
          <w:color w:val="555555"/>
          <w:sz w:val="18"/>
        </w:rPr>
        <w:t xml:space="preserve">VO MRVG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Zwingende Gründe für einen Ausschluss nach § 13 Absatz 3 Maßregelvollzugsgesetz sind insbesondere in der die Unterbringung erfordernden Erkrankung liegende Gründe, konkreter Fluchtverdacht oder die Gefahr einer erheblichen Störung der Veranstaltung.</w:t>
      </w:r>
    </w:p>
    <w:p>
      <w:r>
        <w:t xml:space="preserve">(2) Der Ausschluss soll auf eine Veranstaltung beschränkt werden. § 5 Absatz 2 gilt entsprechend.</w:t>
      </w:r>
    </w:p>
    <w:p>
      <w:r>
        <w:rPr>
          <w:color w:val="555555"/>
          <w:sz w:val="17"/>
        </w:rPr>
        <w:t xml:space="preserve">Zitiervorschlag: § 7 NW_29969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