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NW_29969 (Nordrhein-Westfalen) — Fortbildung</w:t>
      </w:r>
    </w:p>
    <w:p>
      <w:r>
        <w:rPr>
          <w:color w:val="555555"/>
          <w:sz w:val="18"/>
        </w:rPr>
        <w:t xml:space="preserve">VO MRVG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Aufgaben der Sicherheitsfachkräfte erfordern eine regelmäßige Fortbildung. Für die Zeit der Fortbildung sind die Sicherheitsfachkräfte unter Fortzahlung der Bezüge oder des Arbeitsentgelts freizustellen.</w:t>
      </w:r>
    </w:p>
    <w:p>
      <w:r>
        <w:t xml:space="preserve">(2) Der Träger der Einrichtung trägt die durch die Teilnahme der Sicherheitsfachkräfte an einer Schulungs- und Bildungsveranstaltung entstehenden notwendigen Kosten. Diese sind bei der Aufstellung der Budgets berücksichtigungsfähig.</w:t>
      </w:r>
    </w:p>
    <w:p>
      <w:r>
        <w:rPr>
          <w:color w:val="555555"/>
          <w:sz w:val="17"/>
        </w:rPr>
        <w:t xml:space="preserve">Zitiervorschlag: § 14 NW_29969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https://recht.nulegal.eu/gesetze/NW_29969/14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