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NW_29969 (Nordrhein-Westfalen) — Informationsrechte</w:t>
      </w:r>
    </w:p>
    <w:p>
      <w:r>
        <w:rPr>
          <w:color w:val="555555"/>
          <w:sz w:val="18"/>
        </w:rPr>
        <w:t xml:space="preserve">VO MRVG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Sicherheitsfachkräfte holen zur Erfüllung ihrer Aufgaben Informationen von den örtlichen Polizeibehörden, den zur Einrichtung nächstgelegenen Justizvollzugsanstalten und von Sicherheitsfachkräften anderer Einrichtungen ein und tauschen sich mit diesen aus.</w:t>
      </w:r>
    </w:p>
    <w:p>
      <w:r>
        <w:t xml:space="preserve">(2) Das für den Maßregelvollzug zuständige Ministerium führt Arbeitstagungen für Sicherheitsfachkräfte durch. Die Sicherheitsfachkräfte nehmen daran teil und informieren die Leitung der Einrichtung über das Ergebnis.</w:t>
      </w:r>
    </w:p>
    <w:p>
      <w:r>
        <w:rPr>
          <w:color w:val="555555"/>
          <w:sz w:val="17"/>
        </w:rPr>
        <w:t xml:space="preserve">Zitiervorschlag: § 13 NW_29969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