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NW_29966 (Nordrhein-Westfalen)</w:t>
      </w:r>
    </w:p>
    <w:p>
      <w:r>
        <w:rPr>
          <w:color w:val="555555"/>
          <w:sz w:val="18"/>
        </w:rPr>
        <w:t xml:space="preserve">WSPVO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3. November 2009</w:t>
      </w:r>
    </w:p>
    <w:p>
      <w:r>
        <w:t xml:space="preserve">(Artikel 5 der VO vom 3. November 2009 (GV. NRW. S. 561))</w:t>
      </w:r>
    </w:p>
    <w:p>
      <w:r>
        <w:t xml:space="preserve">Auf Grund der §§ 3 Absatz 3, 11 Absatz 1 Nummer 2 des Polizeiorganisationsgesetzes in der Fassung der Bekanntmachung vom 5. Juli 2002 (GV. NRW. S. 308, ber. S. 629), zuletzt geändert durch Artikel 2 des Gesetzes vom 29. März 2007 (GV. NRW. S. 140), wird verordnet:</w:t>
      </w:r>
    </w:p>
    <w:p>
      <w:r>
        <w:rPr>
          <w:color w:val="555555"/>
          <w:sz w:val="17"/>
        </w:rPr>
        <w:t xml:space="preserve">Zitiervorschlag: Volltext NW_29966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https://recht.nulegal.eu/gesetze/NW_29966/volltext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