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NW_29940 (Nordrhein-Westfalen)</w:t>
      </w:r>
    </w:p>
    <w:p>
      <w:r>
        <w:rPr>
          <w:color w:val="555555"/>
          <w:sz w:val="18"/>
        </w:rPr>
        <w:t xml:space="preserve">Verordnung über die Schiffbarkeit von Gewässern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September 2009</w:t>
      </w:r>
    </w:p>
    <w:p>
      <w:r>
        <w:t xml:space="preserve">Auf Grund des § 37 Absatz 2 Landeswassergesetz in der Fassung der Bekanntmachung vom 25. Juni 1995 (GV. NRW. S. 926), zuletzt geändert durch Artikel 1 des Gesetzes vom 11. Dezember 2007 (GV. NRW. S. 708), wird im Einvernehmen mit dem Ministerium für Umwelt und Naturschutz, Landwirtschaft und Verbraucherschutz verordnet:</w:t>
      </w:r>
    </w:p>
    <w:p>
      <w:r>
        <w:rPr>
          <w:color w:val="555555"/>
          <w:sz w:val="17"/>
        </w:rPr>
        <w:t xml:space="preserve">Zitiervorschlag: Volltext NW_29940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https://recht.nulegal.eu/gesetze/NW_29940/volltext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