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NW_29940 (Nordrhein-Westfalen)</w:t>
      </w:r>
    </w:p>
    <w:p>
      <w:r>
        <w:rPr>
          <w:color w:val="555555"/>
          <w:sz w:val="18"/>
        </w:rPr>
        <w:t xml:space="preserve">Verordnung über die Schiffbarkeit von Gewässern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Gleichzeitig treten die Verordnung über die Schiffbarkeit des Flürener Altrheins (Flürener Altrhein-Schifffahrtsverordnung – FlüARhSchVO) vom 24. Mai 1991 (GV. NRW. S. 252) und die Verordnung über die Schiffbarkeit der Ruhr vom 2. September 1963 (GV. NRW. S. 311) außer Kraft.</w:t>
      </w:r>
    </w:p>
    <w:p>
      <w:r>
        <w:t xml:space="preserve">Der Minister</w:t>
      </w:r>
    </w:p>
    <w:p>
      <w:r>
        <w:t xml:space="preserve">für Bauen und Verkehr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NW_29940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https://recht.nulegal.eu/gesetze/NW_29940/3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