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NW_29940 (Nordrhein-Westfalen)</w:t>
      </w:r>
    </w:p>
    <w:p>
      <w:r>
        <w:rPr>
          <w:color w:val="555555"/>
          <w:sz w:val="18"/>
        </w:rPr>
        <w:t xml:space="preserve">Verordnung über die Schiffbarkeit von Gewässern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Flürener Altrhein bei Wesel ist in den aus der Anlage ersichtlichen Grenzen von der Zufahrt zur Grav-Insel bis zur Mündung in den Rhein zwischen Stromkilometer 820,58 und 820,73 schiffbares Gewässer im Sinne des § 118 Absatz 1 des Landeswassergesetzes vom 25. Juni 1995 (GV. NRW. S. 133) in der jeweils geltenden Fassung.</w:t>
      </w:r>
    </w:p>
    <w:p>
      <w:r>
        <w:rPr>
          <w:color w:val="555555"/>
          <w:sz w:val="17"/>
        </w:rPr>
        <w:t xml:space="preserve">Zitiervorschlag: § 1 NW_29940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https://recht.nulegal.eu/gesetze/NW_29940/1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