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NW_29926 (Nordrhein-Westfalen) — Inkrafttreten</w:t>
      </w:r>
    </w:p>
    <w:p>
      <w:r>
        <w:rPr>
          <w:color w:val="555555"/>
          <w:sz w:val="18"/>
        </w:rPr>
        <w:t xml:space="preserve">Verordnung über die Regelungen von Zuständigkeiten nach dem öffentlichen Vereinsrecht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ihrer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Stellvertreter</w:t>
      </w:r>
    </w:p>
    <w:p>
      <w:r>
        <w:t xml:space="preserve">des Ministerpräsidenten</w:t>
      </w:r>
    </w:p>
    <w:p>
      <w:r>
        <w:t xml:space="preserve">Der Innenminister</w:t>
      </w:r>
    </w:p>
    <w:p>
      <w:r>
        <w:rPr>
          <w:color w:val="555555"/>
          <w:sz w:val="17"/>
        </w:rPr>
        <w:t xml:space="preserve">Zitiervorschlag: § 3 NW_29926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