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NW_29900 (Nordrhein-Westfalen)</w:t>
      </w:r>
    </w:p>
    <w:p>
      <w:r>
        <w:rPr>
          <w:color w:val="555555"/>
          <w:sz w:val="18"/>
        </w:rPr>
        <w:t xml:space="preserve">Fluglaternenverordnung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Juli 2009</w:t>
      </w:r>
    </w:p>
    <w:p>
      <w:r>
        <w:t xml:space="preserve">Aufgrund des § 26 Absatz 1 des Ordnungsbehördengesetzes in der Fassung der Bekanntmachung vom 13. Mai 1980 (GV. NRW. S. 528), zuletzt geändert durch Gesetz vom 5. April 2005 (GV. NRW. S. 274), wird verordnet:</w:t>
      </w:r>
    </w:p>
    <w:p>
      <w:r>
        <w:rPr>
          <w:color w:val="555555"/>
          <w:sz w:val="17"/>
        </w:rPr>
        <w:t xml:space="preserve">Zitiervorschlag: Volltext NW_29900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