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NW_29900 (Nordrhein-Westfalen)</w:t>
      </w:r>
    </w:p>
    <w:p>
      <w:r>
        <w:rPr>
          <w:color w:val="555555"/>
          <w:sz w:val="18"/>
        </w:rPr>
        <w:t xml:space="preserve">Fluglaternenverordnung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 nach ihrer Verkündung in Kraft. Sie tritt mit Ablauf des 31. Dezember 2029 außer Kraft.</w:t>
      </w:r>
    </w:p>
    <w:p>
      <w:r>
        <w:t xml:space="preserve">Für den Innenminister</w:t>
      </w:r>
    </w:p>
    <w:p>
      <w:r>
        <w:t xml:space="preserve">Der Minister</w:t>
      </w:r>
    </w:p>
    <w:p>
      <w:r>
        <w:t xml:space="preserve">für Generationen, Familie,</w:t>
      </w:r>
    </w:p>
    <w:p>
      <w:r>
        <w:t xml:space="preserve">Frauen und Integration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4 NW_29900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https://recht.nulegal.eu/gesetze/NW_29900/4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