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NW_29900 (Nordrhein-Westfalen)</w:t>
      </w:r>
    </w:p>
    <w:p>
      <w:r>
        <w:rPr>
          <w:color w:val="555555"/>
          <w:sz w:val="18"/>
        </w:rPr>
        <w:t xml:space="preserve">Fluglaternenverordnung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handelt, wer vorsätzlich oder fahrlässig entgegen § 1 dieser Verordnung Fluglaternen steigen lässt. Die Ordnungswidrigkeit kann mit einer Geldbuße bis zu eintausend Euro geahndet werden.</w:t>
      </w:r>
    </w:p>
    <w:p>
      <w:r>
        <w:rPr>
          <w:color w:val="555555"/>
          <w:sz w:val="17"/>
        </w:rPr>
        <w:t xml:space="preserve">Zitiervorschlag: § 3 NW_29900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https://recht.nulegal.eu/gesetze/NW_29900/3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