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NW_29898 (Nordrhein-Westfalen)</w:t>
      </w:r>
    </w:p>
    <w:p>
      <w:r>
        <w:rPr>
          <w:color w:val="555555"/>
          <w:sz w:val="18"/>
        </w:rPr>
        <w:t xml:space="preserve">Satzung der Lippische Landes-Brandversicherungsanstalt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4. Juni 2009</w:t>
      </w:r>
    </w:p>
    <w:p>
      <w:r>
        <w:t xml:space="preserve">Die Gewährträgerversammlung der Landes-Brandversicherungsanstalt hat am 4. Juni 2009 folgende Satzung beschlossen:</w:t>
      </w:r>
    </w:p>
    <w:p>
      <w:r>
        <w:rPr>
          <w:color w:val="555555"/>
          <w:sz w:val="17"/>
        </w:rPr>
        <w:t xml:space="preserve">Zitiervorschlag: Volltext NW_29898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https://recht.nulegal.eu/gesetze/NW_29898/volltext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NW_29898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