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NW_29898 (Nordrhein-Westfalen) — Zweck und Aufgaben</w:t>
      </w:r>
    </w:p>
    <w:p>
      <w:r>
        <w:rPr>
          <w:color w:val="555555"/>
          <w:sz w:val="18"/>
        </w:rPr>
        <w:t xml:space="preserve">Satzung der Lippische Landes-Brandversicherungsanstalt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Anstalt betreibt alle Sparten der Schaden- und Unfallversicherung als öffentlich-rechtlicher Wettbewerbsversicherer. Die Anstalt kann mit Genehmigung der Aufsichtsbehörde weitere Versicherungssparten in ihre Geschäftstätigkeit aufnehmen.</w:t>
      </w:r>
    </w:p>
    <w:p>
      <w:r>
        <w:t xml:space="preserve">(2) Die Anstalt kann Mit- und Rückversicherungen nehmen und gewähren sowie Versicherungsgeschäft für andere Versicherungsunternehmen vermitteln.</w:t>
      </w:r>
    </w:p>
    <w:p>
      <w:r>
        <w:t xml:space="preserve">(3) Der Anstalt obliegt es, schadenverhütende Maßnahmen in ihrem Geschäftsgebiet, insbesondere zum Brandschutz sowie zur Sicherheit im Straßenverkehr, zu fördern.</w:t>
      </w:r>
    </w:p>
    <w:p>
      <w:r>
        <w:rPr>
          <w:color w:val="555555"/>
          <w:sz w:val="17"/>
        </w:rPr>
        <w:t xml:space="preserve">Zitiervorschlag: § 2 NW_29898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