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NW_29898 (Nordrhein-Westfalen) — Verhältnis zwischen Anstalt und Versicherungsnehmer</w:t>
      </w:r>
    </w:p>
    <w:p>
      <w:r>
        <w:rPr>
          <w:color w:val="555555"/>
          <w:sz w:val="18"/>
        </w:rPr>
        <w:t xml:space="preserve">Satzung der Lippische Landes-Brandversicherungsanstalt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Rechtsbeziehungen zwischen der Anstalt und ihren Versicherungsnehmern werden durch die allgemeinen Versicherungsbedingungen geregelt.</w:t>
      </w:r>
    </w:p>
    <w:p>
      <w:r>
        <w:rPr>
          <w:color w:val="555555"/>
          <w:sz w:val="17"/>
        </w:rPr>
        <w:t xml:space="preserve">Zitiervorschlag: § 13 NW_29898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https://recht.nulegal.eu/gesetze/NW_29898/13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