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NW_29886 (Nordrhein-Westfalen) — Gewinnspiele</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Gewinnspielsendungen und Gewinnspiele sind zulässig. Sie unterliegen dem Gebot der Transparenz und des Teilnehmerschutzes. Sie dürfen nicht irreführen und den Interessen der Teilnehmer nicht schaden. Insbesondere ist im Programm über die Kosten der Teilnahme, die Teilnahmeberechtigung, die Spielgestaltung sowie über die Auflösung der gestellten Aufgabe zu informieren. Die Belange des Jugendschutzes sind zu wahren. Für die Teilnahme darf nur ein Entgelt bis zu 0,50 Euro verlangt werden; § 13 Satz 3 bleibt unberührt.</w:t>
      </w:r>
    </w:p>
    <w:p>
      <w:r>
        <w:t xml:space="preserve">(2) Der Veranstalter hat der für die Aufsicht zuständigen Stelle auf Verlangen alle Unterlagen vorzulegen und Auskünfte zu erteilen, die zur Überprüfung der ordnungsgemäßen Durchführung der Gewinnspielsendungen und Gewinnspiele erforderlich sind.</w:t>
      </w:r>
    </w:p>
    <w:p>
      <w:r>
        <w:t xml:space="preserve">(3) Die Absätze 1 und 2 gelten auch für Teleshoppingkanäle.</w:t>
      </w:r>
    </w:p>
    <w:p>
      <w:r>
        <w:rPr>
          <w:color w:val="555555"/>
          <w:sz w:val="17"/>
        </w:rPr>
        <w:t xml:space="preserve">Zitiervorschlag: § 8a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