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NW_29886 (Nordrhein-Westfalen) — Regelung für Bayern</w:t>
      </w:r>
    </w:p>
    <w:p>
      <w:r>
        <w:rPr>
          <w:color w:val="555555"/>
          <w:sz w:val="18"/>
        </w:rPr>
        <w:t xml:space="preserve">obsolet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Bayern ist berechtigt, eine Verwendung des Anteils am Rundfunkbeitrag nach § 40 zur Finanzierung der landesgesetzlich bestimmten Aufgaben der Bayerischen Landeszentrale für Neue Medien im Rahmen der öffentlich-rechtlichen Trägerschaft vorzusehen. Im übrigen finden die für private Veranstalter geltenden Bestimmungen dieses Staatsvertrages auf Anbieter nach bayerischem Recht entsprechende Anwendung. Abweichende Regelungen zu § 7 Abs. 9 Satz 1 1. Variante zur Umsetzung von Vorgaben der Landesverfassung sind zulässig.</w:t>
      </w:r>
    </w:p>
    <w:p>
      <w:r>
        <w:rPr>
          <w:color w:val="555555"/>
          <w:sz w:val="17"/>
        </w:rPr>
        <w:t xml:space="preserve">Zitiervorschlag: § 64 NW_29886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https://recht.nulegal.eu/gesetze/NW_29886/64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