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61 NW_29886 (Nordrhein-Westfalen) — Notifizierung</w:t>
      </w:r>
    </w:p>
    <w:p>
      <w:r>
        <w:rPr>
          <w:color w:val="555555"/>
          <w:sz w:val="18"/>
        </w:rPr>
        <w:t xml:space="preserve">obsolet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Änderungen dieses Abschnittes unterliegen der Notifizierungspflicht gemäß der Richtlinie98/48/EG des Europäischen Parlaments und des Rates vom 20. Juli 1998 zur Änderung der Richtlinie 98/34/EG über ein Informationsverfahren auf dem Gebiet der Normen und technischen Vorschriften.</w:t>
      </w:r>
    </w:p>
    <w:p>
      <w:r>
        <w:t xml:space="preserve">VII. Abschnitt</w:t>
      </w:r>
    </w:p>
    <w:p>
      <w:r>
        <w:t xml:space="preserve">Übergangs- und Schlußvorschriften</w:t>
      </w:r>
    </w:p>
    <w:p>
      <w:r>
        <w:rPr>
          <w:color w:val="555555"/>
          <w:sz w:val="17"/>
        </w:rPr>
        <w:t xml:space="preserve">Zitiervorschlag: § 61 NW_29886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https://recht.nulegal.eu/gesetze/NW_29886/61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