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NW_29886 (Nordrhein-Westfalen) — Allgemeine Bestimmungen</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Telemedien sind im Rahmen der Gesetze zulassungs- und anmeldefrei. Für die Angebote gilt die verfassungsmäßige Ordnung. Die Vorschriften der allgemeinen Gesetze und die gesetzlichen Bestimmungen zum Schutz der persönlichen Ehre sind einzuhalten.</w:t>
      </w:r>
    </w:p>
    <w:p>
      <w:r>
        <w:t xml:space="preserve">(2) Telemedien mit journalistisch-redaktionell gestalteten Angeboten, in denen insbesondere vollständig oder teilweise Inhalte periodischer Druckerzeugnisse in Text oder Bild wiedergegeben werden, haben den anerkannten journalistischen Grundsätzen zu entsprechen. Nachrichten sind vom Anbieter vor ihrer Verbreitung mit der nach den Umständen gebotenen Sorgfalt auf Inhalt, Herkunft und Wahrheit zu prüfen.</w:t>
      </w:r>
    </w:p>
    <w:p>
      <w:r>
        <w:t xml:space="preserve">(3) Bei der Wiedergabe von Meinungsumfragen, die von Anbietern von Telemedien durchgeführt werden, ist ausdrücklich anzugeben, ob sie repräsentativ sind.</w:t>
      </w:r>
    </w:p>
    <w:p>
      <w:r>
        <w:rPr>
          <w:color w:val="555555"/>
          <w:sz w:val="17"/>
        </w:rPr>
        <w:t xml:space="preserve">Zitiervorschlag: § 54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NW_29886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