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53b NW_29886 (Nordrhein-Westfalen) — Bestehende Zulassungen, Zuordnungen, Zuweisungen, Anzeige von bestehenden Plattformen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Bestehende Zulassungen, Zuordnungen und Zuweisungen für bundesweite Anbieter gelten bis zu deren Ablauf fort. Bestehende Zulassungen und Zuweisungen für Fensterprogrammveranstalter sollen bis zum 31. Dezember 2009 unbeschadet von Vorgaben des § 25 Abs. 4 Satz 4 verlängert werden.</w:t>
      </w:r>
    </w:p>
    <w:p>
      <w:r>
        <w:t xml:space="preserve">(2) Anbieter von Plattformen, die bei Inkrafttreten dieses Staatsvertrages bereits in Betrieb sind, müssen die Anzeige nach § 52 Abs. 3 spätestens sechs Monate nach Inkrafttreten dieses Staatsvertrages stellen.</w:t>
      </w:r>
    </w:p>
    <w:p>
      <w:r>
        <w:t xml:space="preserve">VI. Abschnitt</w:t>
      </w:r>
    </w:p>
    <w:p>
      <w:r>
        <w:t xml:space="preserve">Telemedien</w:t>
      </w:r>
    </w:p>
    <w:p>
      <w:r>
        <w:rPr>
          <w:color w:val="555555"/>
          <w:sz w:val="17"/>
        </w:rPr>
        <w:t xml:space="preserve">Zitiervorschlag: § 53b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https://recht.nulegal.eu/gesetze/NW_29886/53b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