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NW_29886 (Nordrhein-Westfalen) — (weggefallen)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§§ 47a bis 47f</w:t>
      </w:r>
    </w:p>
    <w:p>
      <w:r>
        <w:t xml:space="preserve">entfallen</w:t>
      </w:r>
    </w:p>
    <w:p>
      <w:r>
        <w:t xml:space="preserve">IV. Abschnitt</w:t>
      </w:r>
    </w:p>
    <w:p>
      <w:r>
        <w:t xml:space="preserve">Revision, Ordnungswidrigkeiten</w:t>
      </w:r>
    </w:p>
    <w:p>
      <w:r>
        <w:rPr>
          <w:color w:val="555555"/>
          <w:sz w:val="17"/>
        </w:rPr>
        <w:t xml:space="preserve">Zitiervorschlag: § 47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