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46a NW_29886 (Nordrhein-Westfalen) — Ausnahmen für regionale und lokale Fernsehveranstalter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regionale und lokale Fernsehprogramme können von § 7 Abs. 4 Satz 2, § 7a Abs. 3 und § 45 Abs. 1 nach Landesrecht abweichende Regelungen getroffen werden.</w:t>
      </w:r>
    </w:p>
    <w:p>
      <w:r>
        <w:t xml:space="preserve">7. Unterabschnitt</w:t>
      </w:r>
    </w:p>
    <w:p>
      <w:r>
        <w:t xml:space="preserve">Datenschutz</w:t>
      </w:r>
    </w:p>
    <w:p>
      <w:r>
        <w:rPr>
          <w:color w:val="555555"/>
          <w:sz w:val="17"/>
        </w:rPr>
        <w:t xml:space="preserve">Zitiervorschlag: § 46a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https://recht.nulegal.eu/gesetze/NW_29886/46a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