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NW_29886 (Nordrhein-Westfalen) — Programmgrundsätze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Rundfunkprogramme gilt die verfassungsmäßige Ordnung. Die Rundfunkprogramme haben die Würde des Menschen sowie die sittlichen, religiösen und weltanschaulichen Überzeugungen anderer zu achten. Sie sollen die Zusammengehörigkeit im vereinten Deutschland sowie die internationale Verständigung fördern und auf ein diskriminierungsfreies Miteinander hinwirken. Die Vorschriften der allgemeinen Gesetze und die gesetzlichen Bestimmungen zum Schutz der persönlichen Ehre sind einzuhalten.</w:t>
      </w:r>
    </w:p>
    <w:p>
      <w:r>
        <w:t xml:space="preserve">(2) Die Rundfunkvollprogramme sollen zur Darstellung der Vielfalt im deutschsprachigen und europäischen Raum mit einem angemessenen Anteil an Information, Kultur und Bildung beitragen; die Möglichkeit, Spartenprogramme anzubieten, bleibt hiervon unberührt.</w:t>
      </w:r>
    </w:p>
    <w:p>
      <w:r>
        <w:t xml:space="preserve">(3) Die Absätze 1 und 2 gelten nur für bundesweit verbreiteten Rundfunk.</w:t>
      </w:r>
    </w:p>
    <w:p>
      <w:r>
        <w:rPr>
          <w:color w:val="555555"/>
          <w:sz w:val="17"/>
        </w:rPr>
        <w:t xml:space="preserve">Zitiervorschlag: § 41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