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NW_29886 (Nordrhein-Westfalen) — Vielfaltssichernde Maßnahmen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Stellen die vorgenannten Vorschriften auf vielfaltssichernde Maßnahmen bei einem Veranstalter oder Unternehmen ab, so gelten als solche Maßnahmen:</w:t>
      </w:r>
    </w:p>
    <w:p>
      <w:r>
        <w:t xml:space="preserve">1. Die Einräumung von Sendezeit für unabhängige Dritte (§ 31),</w:t>
      </w:r>
    </w:p>
    <w:p>
      <w:r>
        <w:t xml:space="preserve">2. die Einrichtung eines Programmbeirats (§ 32).</w:t>
      </w:r>
    </w:p>
    <w:p>
      <w:r>
        <w:rPr>
          <w:color w:val="555555"/>
          <w:sz w:val="17"/>
        </w:rPr>
        <w:t xml:space="preserve">Zitiervorschlag: § 30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