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NW_29886 (Nordrhein-Westfalen) — Vertraulichkeit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Jenseits des Anwendungsbereichs der Verordnung (EU) 2016/679 dürfen Angaben über persönliche und sachliche Verhältnisse einer natürlichen oder juristischen Person oder einer Personengesellschaft sowie Betriebs- oder Geschäftsgeheimnisse, die den Landesmedienanstalten, ihren Organen, ihren Bediensteten oder von ihnen beauftragten Dritten im Rahmen der Durchführung ihrer Aufgaben anvertraut oder sonst bekannt geworden sind, nicht unbefugt offenbart werden.</w:t>
      </w:r>
    </w:p>
    <w:p>
      <w:r>
        <w:t xml:space="preserve">3. Unterabschnitt</w:t>
      </w:r>
    </w:p>
    <w:p>
      <w:r>
        <w:t xml:space="preserve">Sicherung der Meinungsvielfalt</w:t>
      </w:r>
    </w:p>
    <w:p>
      <w:r>
        <w:rPr>
          <w:color w:val="555555"/>
          <w:sz w:val="17"/>
        </w:rPr>
        <w:t xml:space="preserve">Zitiervorschlag: § 24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