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16a NW_29886 (Nordrhein-Westfalen) — Kommerzielle Tätigkeiten</w:t>
      </w:r>
    </w:p>
    <w:p>
      <w:r>
        <w:rPr>
          <w:color w:val="555555"/>
          <w:sz w:val="18"/>
        </w:rPr>
        <w:t xml:space="preserve">obsolet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in der ARD zusammengeschlossenen Landesrundfunkanstalten, das ZDF und das Deutschlandradio sind berechtigt, kommerzielle Tätigkeiten auszuüben. Kommerzielle Tätigkeiten sind Betätigungen, bei denen Leistungen auch für Dritte im Wettbewerb angeboten werden, insbesondere Werbung und Sponsoring, Verwertungsaktivitäten, Merchandising, Produktion für Dritte und die Vermietung von Senderstandorten an Dritte. Diese Tätigkeiten dürfen nur unter Marktbedingungen erbracht werden. Die kommerziellen Tätigkeiten sind durch rechtlich selbständige Tochtergesellschaften zu erbringen. Bei geringer Marktrelevanz kann eine kommerzielle Tätigkeit durch die Rundfunkanstalt selbst erbracht werden; in diesem Fall ist eine getrennte Buchführung vorzusehen. Die in der ARD zusammengeschlossenen Landesrundfunkanstalten, das ZDF und das Deutschlandradio haben sich bei den Beziehungen zu ihren kommerziell tätigen Tochterunternehmen marktkonform zu verhalten und die entsprechenden Bedingungen, wie bei einer kommerziellen Tätigkeit, auch ihnen gegenüber einzuhalten.</w:t>
      </w:r>
    </w:p>
    <w:p>
      <w:r>
        <w:t xml:space="preserve">(2) Die Tätigkeitsbereiche sind von den zuständigen Gremien der Rundfunkanstalten vor Aufnahme der Tätigkeit zu genehmigen. Die Prüfung umfasst folgende Punkte:</w:t>
      </w:r>
    </w:p>
    <w:p>
      <w:r>
        <w:t xml:space="preserve">1. die Beschreibung der Tätigkeit nach Art und Umfang, die die Einhaltung der marktkonformen Bedingungen begründet (Marktkonformität) einschließlich eines Fremdvergleichs,</w:t>
      </w:r>
    </w:p>
    <w:p>
      <w:r>
        <w:t xml:space="preserve">2. der Vergleich mit Angeboten privater Konkurrenten,</w:t>
      </w:r>
    </w:p>
    <w:p>
      <w:r>
        <w:t xml:space="preserve">3. Vorgaben für eine getrennte Buchführung und</w:t>
      </w:r>
    </w:p>
    <w:p>
      <w:r>
        <w:t xml:space="preserve">4. Vorgaben für eine effiziente Kontrolle.</w:t>
      </w:r>
    </w:p>
    <w:p>
      <w:r>
        <w:rPr>
          <w:color w:val="555555"/>
          <w:sz w:val="17"/>
        </w:rPr>
        <w:t xml:space="preserve">Zitiervorschlag: § 16a NW_29886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https://recht.nulegal.eu/gesetze/NW_29886/16a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