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NW_29886 (Nordrhein-Westfalen) — Finanzierung</w:t>
      </w:r>
    </w:p>
    <w:p>
      <w:r>
        <w:rPr>
          <w:color w:val="555555"/>
          <w:sz w:val="18"/>
        </w:rPr>
        <w:t xml:space="preserve">obsolet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öffentlich-rechtliche Rundfunk finanziert sich durch Rundfunkbeiträge, Einnahmen aus Rundfunkwerbung und sonstigen Einnahmen; vorrangige Finanzierungsquelle ist der Rundfunkbeitrag. Programme und Angebote im Rahmen seines Auftrags gegen besonderes Entgelt sind unzulässig; ausgenommen hiervon sind Begleitmaterialien. Einnahmen aus dem Angebot von Telefonmehrwertdiensten dürfen nicht erzielt werden.</w:t>
      </w:r>
    </w:p>
    <w:p>
      <w:r>
        <w:rPr>
          <w:color w:val="555555"/>
          <w:sz w:val="17"/>
        </w:rPr>
        <w:t xml:space="preserve">Zitiervorschlag: § 13 NW_29886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https://recht.nulegal.eu/gesetze/NW_29886/13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