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NW_29886 (Nordrhein-Westfalen) — Anwendungsbereich</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gilt für die Veranstaltung und Verbreitung von Rundfunk in Deutschland in einem dualen Rundfunksystem; für Telemedien gelten nur der IV. bis VI. Abschnitt sowie § 20 Abs. 2.</w:t>
      </w:r>
    </w:p>
    <w:p>
      <w:r>
        <w:t xml:space="preserve">(2) Soweit dieser Staatsvertrag keine anderweitigen Regelungen für die Veranstaltung und Verbreitung von Rundfunk enthält oder solche Regelungen zuläßt, sind die für die jeweilige Rundfunkanstalt oder den jeweiligen privaten Veranstalter geltenden landesrechtlichen Vorschriften anzuwenden.</w:t>
      </w:r>
    </w:p>
    <w:p>
      <w:r>
        <w:t xml:space="preserve">(3) Für Fernsehveranstalter gelten dieser Staatsvertrag und die landesrechtlichen Vorschriften, wenn sie in der Bundesrepublik Deutschland niedergelassen sind. Ein Fernsehveranstalter gilt als in der Bundesrepublik Deutschland niedergelassen, wenn</w:t>
      </w:r>
    </w:p>
    <w:p>
      <w:r>
        <w:t xml:space="preserve">1. die Hauptverwaltung in Deutschland liegt und die redaktionellen Entscheidungen über das Programm dort getroffen werden,</w:t>
      </w:r>
    </w:p>
    <w:p>
      <w:r>
        <w:t xml:space="preserve">2. die Hauptverwaltung in Deutschland liegt und die Entscheidungen über das Programm in einem anderen Mitgliedstaat der Europäischen Union getroffen werden, jedoch</w:t>
      </w:r>
    </w:p>
    <w:p>
      <w:r>
        <w:t xml:space="preserve">a) ein wesentlicher Teil des mit der Bereitstellung des Programms betrauten Personals in Deutschland tätig ist oder</w:t>
      </w:r>
    </w:p>
    <w:p>
      <w:r>
        <w:t xml:space="preserve">b) ein wesentlicher Teil des mit der Bereitstellung des Programms betrauten Personals sowohl in Deutschland als auch dem anderen Mitgliedstaat der Europäischen Union tätig ist oder</w:t>
      </w:r>
    </w:p>
    <w:p>
      <w:r>
        <w:t xml:space="preserve">c) ein wesentlicher Teil des mit der Bereitstellung des Programms betrauten Personals weder in Deutschland noch dem anderen Mitgliedstaat der Europäischen Union tätig ist, aber der Fernsehveranstalter in Deutschland zuerst seine Tätigkeit begann und eine dauerhafte und tatsächliche Verbindung mit der Wirtschaft Deutschlands fortbesteht, oder</w:t>
      </w:r>
    </w:p>
    <w:p>
      <w:r>
        <w:t xml:space="preserve">3. die Hauptverwaltung in Deutschland liegt und die redaktionellen Entscheidungen über das Programm in einem Drittstaat getroffen werden oder umgekehrt und vorausgesetzt, ein wesentlicher Teil des mit der Bereitstellung des Programms betrauten Personals ist in Deutschland tätig.“</w:t>
      </w:r>
    </w:p>
    <w:p>
      <w:r>
        <w:t xml:space="preserve">(4) Für Fernsehveranstalter, sofern sie nicht bereits aufgrund der Niederlassung der Rechtshoheit Deutschlands oder eines anderen Mitgliedstaats der Europäischen Union unterliegen, gelten dieser Staatsvertrag und die landesrechtlichen Vorschriften auch, wenn sie</w:t>
      </w:r>
    </w:p>
    <w:p>
      <w:r>
        <w:t xml:space="preserve">1. eine in der Bundesrepublik Deutschland gelegene Satelliten-Bodenstation für die Aufwärtsstrecke nutzen oder</w:t>
      </w:r>
    </w:p>
    <w:p>
      <w:r>
        <w:t xml:space="preserve">2. zwar keine in einem Mitgliedstaat der Europäischen Union gelegene Satelliten-Bodenstation für die Aufwärtsstrecke nutzen, aber eine der Bundesrepublik Deutschland zugewiesene Übertragungskapazität eines Satelliten nutzen. Liegt keines dieser beiden Kriterien vor, gelten dieser Staatsvertrag und die landesrechtlichen Vorschriften auch für Fernsehveranstalter, wenn sie in Deutschland gemäß den Artikeln 49 bis 55 des Vertrags über die Arbeitsweise der Europäischen Union, ABI. Nr. C 115 vom 9.5.2008 S. 47, niedergelassen sind.</w:t>
      </w:r>
    </w:p>
    <w:p>
      <w:r>
        <w:t xml:space="preserve">(5) Dieser Staatsvertrag und die landesrechtlichen Vorschriften gelten nicht für Programme von Fernsehveranstaltern, die</w:t>
      </w:r>
    </w:p>
    <w:p>
      <w:r>
        <w:t xml:space="preserve">1. ausschließlich zum Empfang in Drittländern bestimmt sind und</w:t>
      </w:r>
    </w:p>
    <w:p>
      <w:r>
        <w:t xml:space="preserve">2. nicht unmittelbar oder mittelbar von der Allgemeinheit mit handelsüblichen Verbraucherendgeräten in einem Staat innerhalb des Geltungsbereichs der Richtlinie 2010/13/EU des Europäischen Parlaments und des Rates vom 10. März 2010 zur Koordinierung bestimmter Rechts- und Verwaltungsvorschriften der Mitgliedstaaten über die Bereitstellung audiovisueller Mediendienste (ABI. L 95 vom 15. April 2010, S. 1) empfangen werden.</w:t>
      </w:r>
    </w:p>
    <w:p>
      <w:r>
        <w:t xml:space="preserve">(6) Die Bestimmungen des I. und III. Abschnitts dieses Staatsvertrages gelten für Teleshoppingkanäle nur, sofern dies ausdrücklich bestimmt ist.</w:t>
      </w:r>
    </w:p>
    <w:p>
      <w:r>
        <w:rPr>
          <w:color w:val="555555"/>
          <w:sz w:val="17"/>
        </w:rPr>
        <w:t xml:space="preserve">Zitiervorschlag: § 1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