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NW_29854 (Nordrhein-Westfalen) — Stellung im Rechtsverkehr</w:t>
      </w:r>
    </w:p>
    <w:p>
      <w:r>
        <w:rPr>
          <w:color w:val="555555"/>
          <w:sz w:val="18"/>
        </w:rPr>
        <w:t xml:space="preserve">Zukunftsinvestitions- und Tilgungsfondsgesetz -ZTFoG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Sondervermögen ist teilrechtsfähig. Es kann unter seinem Namen im rechtsgeschäftlichen Verkehr handeln, klagen und verklagt werden. Der allgemeine Gerichtsstand des Sondervermögens ist Düsseldorf.</w:t>
      </w:r>
    </w:p>
    <w:p>
      <w:r>
        <w:t xml:space="preserve">(2) Das Sondervermögen ist von dem übrigen Vermögen des Landes Nordrhein-Westfalen, seinen Rechten und Verbindlichkeiten getrennt zu halten.</w:t>
      </w:r>
    </w:p>
    <w:p>
      <w:r>
        <w:t xml:space="preserve">(3) Das Land Nordrhein-Westfalen haftet unmittelbar für die Verbindlichkeiten des Sondervermögens; dieses haftet nicht für die sonstigen Verbindlichkeiten des Landes.</w:t>
      </w:r>
    </w:p>
    <w:p>
      <w:r>
        <w:rPr>
          <w:color w:val="555555"/>
          <w:sz w:val="17"/>
        </w:rPr>
        <w:t xml:space="preserve">Zitiervorschlag: § 3 NW_29854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https://recht.nulegal.eu/gesetze/NW_29854/3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