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NW_29854 (Nordrhein-Westfalen) — Zweck des Sondervermögens</w:t>
      </w:r>
    </w:p>
    <w:p>
      <w:r>
        <w:rPr>
          <w:color w:val="555555"/>
          <w:sz w:val="18"/>
        </w:rPr>
        <w:t xml:space="preserve">Zukunftsinvestitions- und Tilgungsfondsgesetz -ZTFoG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Bund hat mit dem Gesetz zur Errichtung eines Sondervermögens „Investitions- und Tilgungsfonds“ (ITFG) und dem Gesetz zur Umsetzung von Zukunftsinvestitionen der Kommunen und Länder (Zukunftsinvestitionsgesetz - ZuInvG) (Artikel 6 und 7 des Gesetzes zur Sicherung von Beschäftigung und Stabilität in Deutschland vom 2. März 2009, BGBl. I S. 416) die Voraussetzungen für die Gewährung von Finanzhilfen nach Artikel 104 b GG für Zukunftsinvestitionen der Kommunen und der Länder geschaffen. Das Sondervermögen des Landes hat die Aufgabe, die Finanzhilfen des Bundes für die Zukunftsinvestitionen der Kommunen und des Landes Nordrhein-Westfalen sowie den vom Land Nordrhein-Westfalen und den Kommunen gemeinsam aufzubringenden Finanzierungsanteil durch Vereinnahmung zu bündeln und zu verausgaben.</w:t>
      </w:r>
    </w:p>
    <w:p>
      <w:r>
        <w:t xml:space="preserve">(2) Ansprüche Dritter gegen das Sondervermögen werden durch dieses Gesetz nicht begründet.</w:t>
      </w:r>
    </w:p>
    <w:p>
      <w:r>
        <w:rPr>
          <w:color w:val="555555"/>
          <w:sz w:val="17"/>
        </w:rPr>
        <w:t xml:space="preserve">Zitiervorschlag: § 2 NW_29854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https://recht.nulegal.eu/gesetze/NW_29854/2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