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NW_29849 (Nordrhein-Westfalen) — Jahresabschluss</w:t>
      </w:r>
    </w:p>
    <w:p>
      <w:r>
        <w:rPr>
          <w:color w:val="555555"/>
          <w:sz w:val="18"/>
        </w:rPr>
        <w:t xml:space="preserve">Satzung für die LWL-Pflegezentren und LWL-Wohnverbünde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Betriebsleitung hat den Jahresabschluss und den Lagebericht spätestens bis zum Ablauf von drei Monaten nach Schluss des Wirtschaftsjahres aufzustellen, zu unterschreiben und über den Direktor/die Direktorin des Landschaftsverbandes dem Ausschuss LWL-Pflegezentren und LWL-Wohnverbünde vorzulegen.</w:t>
      </w:r>
    </w:p>
    <w:p>
      <w:r>
        <w:rPr>
          <w:color w:val="555555"/>
          <w:sz w:val="17"/>
        </w:rPr>
        <w:t xml:space="preserve">Zitiervorschlag: § 17 NW_29849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https://recht.nulegal.eu/gesetze/NW_29849/17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