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NW_29849 (Nordrhein-Westfalen) — Doppelte Buchführung</w:t>
      </w:r>
    </w:p>
    <w:p>
      <w:r>
        <w:rPr>
          <w:color w:val="555555"/>
          <w:sz w:val="18"/>
        </w:rPr>
        <w:t xml:space="preserve">Satzung für die LWL-Pflegezentren und LWL-Wohnverbünde des Landschaftsverbandes Westfalen-Lippe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Betriebe führen ihre Rechnungen nach den Regeln der kaufmännischen doppelten Buchführung. Die besonderen Vorschriften des Bundes und des Landes sind zu beachten.</w:t>
      </w:r>
    </w:p>
    <w:p>
      <w:r>
        <w:rPr>
          <w:color w:val="555555"/>
          <w:sz w:val="17"/>
        </w:rPr>
        <w:t xml:space="preserve">Zitiervorschlag: § 16 NW_29849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https://recht.nulegal.eu/gesetze/NW_29849/16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