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NW_29847 (Nordrhein-Westfalen) — Geldleistungen und Lizenzen</w:t>
      </w:r>
    </w:p>
    <w:p>
      <w:r>
        <w:rPr>
          <w:color w:val="555555"/>
          <w:sz w:val="18"/>
        </w:rPr>
        <w:t xml:space="preserve">Gesetz über den Zugang zu digitalen Geodaten Nordrhein-Westfalen (Geodatenzugangsgesetz - GeoZG NRW)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Geodatenhaltende Stellen, die Geodaten nach § 4 Absatz 1 Nummer 4 oder Geodatendienste nach § 6 Absatz 1 anbieten, können für deren Nutzung Lizenzen erteilen und Geldleistungen fordern, soweit durch besondere Rechtsvorschrift nichts anderes bestimmt ist.</w:t>
      </w:r>
    </w:p>
    <w:p>
      <w:r>
        <w:t xml:space="preserve">(2) Such- und Darstellungsdienste nach § 6 Absatz 1 Nummer 1 und Nummer 2 stehen der Öffentlichkeit kostenlos zur Verfügung, soweit die Darstellungsdienste nicht über eine netzgebundene Bildschirmdarstellung hinausgehen; die geodatenhaltende Stelle kann die Weiterverwendung von Geodaten, die über Darstellungsdienste bereitgestellt werden, für einen kommerziellen Zweck sowie die Möglichkeit des Ausdruckens unterbinden. Soweit dem keine anderweitigen Rechtsvorschriften entgegenstehen, können abweichend von Satz 1 für die Nutzung von Darstellungsdiensten Geldleistungen gefordert werden, wenn die Geldleistung die Pflege der Geodaten und der entsprechenden Geodatendienste sichert, insbesondere in Fällen, in denen große Datenmengen mehrfach monatlich aktualisiert werden.</w:t>
      </w:r>
    </w:p>
    <w:p>
      <w:r>
        <w:t xml:space="preserve">(3) Soweit für die Nutzung von Geodaten oder Geodatendiensten Geldleistungen gefordert werden, sind für deren Abwicklung Dienstleistungen des elektronischen Geschäftsverkehrs nach § 6 Absatz 1 Nummer 5 zu nutzen. Für solche Dienste können Haftungsausschlüsse, elektronische Lizenzvereinbarungen oder Lizenzen in sonstiger Form vorgesehen werden.</w:t>
      </w:r>
    </w:p>
    <w:p>
      <w:r>
        <w:t xml:space="preserve">(4) Geodatenhaltende Stellen eröffnen den Organen und Einrichtungen der Europäischen Gemeinschaft zur Wahrnehmung öffentlicher Aufgaben oder zur Erfüllung ihrer aus dem Gemeinschaftsrecht erwachsenden Berichtspflichten Zugang zu Geodaten und Geodatendiensten. Soweit hierfür nach Absatz 1 und Absatz 2 Lizenzen erteilt oder Geldleistungen gefordert werden, müssen sie mit dem allgemeinen Ziel des Austauschs von Geodaten und Geodatendiensten zwischen geodatenhaltenden Stellen vereinbar sein. Die von Organen oder Einrichtungen der Europäischen Gemeinschaft geforderten Geldleistungen dürfen das zur Gewährleistung der nötigen Qualität und des Angebots von Geodaten und Geodatendiensten notwendige Minimum zuzüglich einer angemessenen Rendite nicht übersteigen. Dabei sind die Selbstfinanzierungserfordernisse der geodatenhaltenden Stellen, die Geodaten und Geodatendienste anbieten, sowie der Aufwand der Datenerhebung und der öffentliche Zweck des Datenzugangs der Organe und Einrichtungen der Europäischen Gemeinschaft angemessen zu berücksichtigen. Werden Geodaten oder Geodatendienste Organen oder Einrichtungen der Europäischen Gemeinschaft zur Erfüllung von aus dem Gemeinschaftsumweltrecht erwachsenden Berichtspflichten zur Verfügung gestellt, werden keine Geldleistungen gefordert.</w:t>
      </w:r>
    </w:p>
    <w:p>
      <w:r>
        <w:t xml:space="preserve">(5) Soweit geodatenhaltende Stellen anderer Mitgliedstaaten der Europäischen Gemeinschaft öffentliche Aufgaben wahrnehmen, die Auswirkungen auf die Umwelt haben können, finden die Regelungen des Absatzes 4 auch auf diese Anwendung. Absatz 4 gilt auf der Grundlage von Gegenseitigkeit und Gleichwertigkeit auch für die Lizenzerteilung an und die Geldleistungsforderung von Einrichtungen, die durch internationale Übereinkünfte geschaffen wurden, soweit die Europäische Gemeinschaft und ihre Mitgliedstaaten zu deren Vertragsparteien gehören.</w:t>
      </w:r>
    </w:p>
    <w:p>
      <w:r>
        <w:t xml:space="preserve">Teil 6</w:t>
      </w:r>
    </w:p>
    <w:p>
      <w:r>
        <w:t xml:space="preserve">Schlussbestimmungen</w:t>
      </w:r>
    </w:p>
    <w:p>
      <w:r>
        <w:rPr>
          <w:color w:val="555555"/>
          <w:sz w:val="17"/>
        </w:rPr>
        <w:t xml:space="preserve">Zitiervorschlag: § 13 NW_29847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https://recht.nulegal.eu/gesetze/NW_29847/13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