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NW_29847 (Nordrhein-Westfalen) — Allgemeine Nutzung</w:t>
      </w:r>
    </w:p>
    <w:p>
      <w:r>
        <w:rPr>
          <w:color w:val="555555"/>
          <w:sz w:val="18"/>
        </w:rPr>
        <w:t xml:space="preserve">Gesetz über den Zugang zu digitalen Geodaten Nordrhein-Westfalen (Geodatenzugangsgesetz - GeoZG NRW)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Geodaten und Geodatendienste sind vorbehaltlich der Vorschrift des § 12 Absatz 1 und 2 öffentlich verfügbar bereitzustellen. Werden Geodaten über Darstellungsdienste bereitgestellt, kann dies in einer Form geschehen, welche eine Weiterverwendung im Sinne von § 2 Nummer 3 des Informationsweiterverwendungsgesetzes vom 13. Dezember 2006 (BGBI. I S. 2913) ausschließt.</w:t>
      </w:r>
    </w:p>
    <w:p>
      <w:r>
        <w:rPr>
          <w:color w:val="555555"/>
          <w:sz w:val="17"/>
        </w:rPr>
        <w:t xml:space="preserve">Zitiervorschlag: § 11 NW_29847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https://recht.nulegal.eu/gesetze/NW_29847/11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