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NW_29820 (Nordrhein-Westfalen) — Voraussetzungen der Mitgliedschaft</w:t>
      </w:r>
    </w:p>
    <w:p>
      <w:r>
        <w:rPr>
          <w:color w:val="555555"/>
          <w:sz w:val="18"/>
        </w:rPr>
        <w:t xml:space="preserve">Satzung für das LVR-Landesjugendamt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stimmberechtigten Mitglieder einschließlich der Stellvertreterinnen und Stellvertreter müssen die Voraussetzungen für die Wahl in eine örtliche Gemeindevertretung im Bezirk des LVR erfüllen.</w:t>
      </w:r>
    </w:p>
    <w:p>
      <w:r>
        <w:rPr>
          <w:color w:val="555555"/>
          <w:sz w:val="17"/>
        </w:rPr>
        <w:t xml:space="preserve">Zitiervorschlag: § 6 NW_29820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https://recht.nulegal.eu/gesetze/NW_29820/6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