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NW_29820 (Nordrhein-Westfalen) — Aufgaben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Landesjugendhilfeausschuss befasst sich anregend, fördernd und ggf. beschließend mit den Aufgaben des LVR in der Kinder-, Jugend- und Familienhilfe (§ 10 AG-KJHG).</w:t>
      </w:r>
    </w:p>
    <w:p>
      <w:r>
        <w:t xml:space="preserve">(2) Er berät insbesondere über:</w:t>
      </w:r>
    </w:p>
    <w:p>
      <w:r>
        <w:t xml:space="preserve">1. Haushaltsplan und Investitionsprogramm,</w:t>
      </w:r>
    </w:p>
    <w:p>
      <w:r>
        <w:t xml:space="preserve">2. den Stellenplan für das LVR-Landesjugendamt Rheinland,</w:t>
      </w:r>
    </w:p>
    <w:p>
      <w:r>
        <w:t xml:space="preserve">3. Stellungnahme vor Bestellung (Wahl) der Leiterin/des Leiters der Verwaltung des LVR-Landesjugendamtes Rheinland,</w:t>
      </w:r>
    </w:p>
    <w:p>
      <w:r>
        <w:t xml:space="preserve">4. die Ausstattung und Struktur des LVR-Landesjugendamtes Rheinland und die Stellungnahme zur Abgrenzung der Aufgaben des LVR-Landesjugendamtes Rheinland von den Aufgaben anderer Stellen der Verwaltung des LVR,</w:t>
      </w:r>
    </w:p>
    <w:p>
      <w:r>
        <w:t xml:space="preserve">5. Fachplanungen und Einzelprojekte.</w:t>
      </w:r>
    </w:p>
    <w:p>
      <w:r>
        <w:t xml:space="preserve">(3) Er entscheidet über:</w:t>
      </w:r>
    </w:p>
    <w:p>
      <w:r>
        <w:t xml:space="preserve">1. Zuschüsse und Darlehen für Einrichtungen und Maßnahmen der Kinder-, Jugend- und Familienhilfe im Rahmen der von der Landschaftsversammlung bereitgestellten Mittel. Soweit die zuständige oberste Landesjugendbehörde bzw. die zuständige Bundesbehörde keine Richtlinien und Weisungen erlassen hat, beschließt er auch über Landes- und Bundesmittel. Er kann das Beschlussrecht über bestimmte Zuschüsse und Darlehen oder bis zu einer bestimmten Bewilligungssumme auf die Verwaltung des LVR-Landesjugendamtes Rheinland übertragen und das Verfahren dafür näher regeln.</w:t>
      </w:r>
    </w:p>
    <w:p>
      <w:r>
        <w:t xml:space="preserve">2. Richtlinien, Grundsätze und Empfehlungen für die</w:t>
      </w:r>
    </w:p>
    <w:p>
      <w:r>
        <w:t xml:space="preserve">a) Tätigkeit der Jugendämter und die Zusammenarbeit mit den Trägern der freien Jugendhilfe,</w:t>
      </w:r>
    </w:p>
    <w:p>
      <w:r>
        <w:t xml:space="preserve">b) erzieherische Hilfe und Heimaufsicht,</w:t>
      </w:r>
    </w:p>
    <w:p>
      <w:r>
        <w:t xml:space="preserve">c) Förderung von Einrichtungen und Maßnahmen der Kinder-, Jugend- und Familienhilfe,</w:t>
      </w:r>
    </w:p>
    <w:p>
      <w:r>
        <w:t xml:space="preserve">d) Wahrnehmung der Aufgaben des LVR-Landesjugendamtes Rheinland.</w:t>
      </w:r>
    </w:p>
    <w:p>
      <w:r>
        <w:t xml:space="preserve">3. Die öffentliche Anerkennung von Trägern der freien Jugendhilfe nach § 25 Absatz 1 Nummer 2 AG-KJHG.</w:t>
      </w:r>
    </w:p>
    <w:p>
      <w:r>
        <w:t xml:space="preserve">4. Die Bildung von beratenden Unterausschüssen für einzelne Angelegenheiten des LVR-Landesjugendamtes Rheinland.</w:t>
      </w:r>
    </w:p>
    <w:p>
      <w:r>
        <w:t xml:space="preserve">5. Die Verleihung des LVR-Prädikates Kinderfreundlich.</w:t>
      </w:r>
    </w:p>
    <w:p>
      <w:r>
        <w:t xml:space="preserve">(4) Vor jeder Entscheidung der Landschaftsversammlung oder des Landschaftsausschusses zu Angelegenheiten der Kinder-, Jugend- und Familienhilfe soll er gehört werden. Er hat das Recht, dort Anträge zu stellen.</w:t>
      </w:r>
    </w:p>
    <w:p>
      <w:r>
        <w:t xml:space="preserve">(5) Er nimmt zugleich die Aufgaben eines Fachausschusses im Sinne der Landschaftsverbandsordnung wahr.</w:t>
      </w:r>
    </w:p>
    <w:p>
      <w:r>
        <w:rPr>
          <w:color w:val="555555"/>
          <w:sz w:val="17"/>
        </w:rPr>
        <w:t xml:space="preserve">Zitiervorschlag: § 3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