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NW_29820 (Nordrhein-Westfalen) — Aufgaben</w:t>
      </w:r>
    </w:p>
    <w:p>
      <w:r>
        <w:rPr>
          <w:color w:val="555555"/>
          <w:sz w:val="18"/>
        </w:rPr>
        <w:t xml:space="preserve">Satzung für das LVR-Landesjugendamt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LVR-Landesjugendamt Rheinland ist Mittel- und Sammelpunkt von Erfahrungen und überörtlichen Bestrebungen auf dem Gebiet der Kinder-, Jugend- und Familienhilfe im Bereich des LVR.</w:t>
      </w:r>
    </w:p>
    <w:p>
      <w:r>
        <w:t xml:space="preserve">(2) Das LVR-Landesjugendamt Rheinland führt nach Maßgabe</w:t>
      </w:r>
    </w:p>
    <w:p>
      <w:r>
        <w:t xml:space="preserve">– des SGB VIII und der hierzu der erlassenen Ausführungsgesetze in den jeweils gültigen Fassungen,</w:t>
      </w:r>
    </w:p>
    <w:p>
      <w:r>
        <w:t xml:space="preserve">– des Gesetzes über die Vermittlung der Annahme als Kind und über das Verbot der Vermittlung von Ersatzmüttern - Adoptionsvermittlungsgesetz (AdVermiG),</w:t>
      </w:r>
    </w:p>
    <w:p>
      <w:r>
        <w:t xml:space="preserve">– dieser Satzung</w:t>
      </w:r>
    </w:p>
    <w:p>
      <w:r>
        <w:t xml:space="preserve">alle Aufgaben des Landschaftsverbandes Rheinland im Bereich der Kinder- und Jugendhilfe aus.</w:t>
      </w:r>
    </w:p>
    <w:p>
      <w:r>
        <w:t xml:space="preserve">(3) Insbesondere ist es zuständig für</w:t>
      </w:r>
    </w:p>
    <w:p>
      <w:r>
        <w:t xml:space="preserve">1. die Beratung der Jugendämter und die Entwicklung von Empfehlungen zur Erfüllung der Aufgaben nach dem SGB VIII,</w:t>
      </w:r>
    </w:p>
    <w:p>
      <w:r>
        <w:t xml:space="preserve">2. die Förderung der Zusammenarbeit zwischen den Jugendämtern und den anerkannten Trägern der freien Jugendhilfe, insbesondere bei der Planung und Sicherstellung eines bedarfsgerechten Angebotes an Hilfen zur Erziehung,</w:t>
      </w:r>
    </w:p>
    <w:p>
      <w:r>
        <w:t xml:space="preserve">3. die Anregung oder Förderung von Einrichtungen, Diensten und Veranstaltungen sowie deren Schaffung und Betrieb, soweit sie den örtlichen Bedarf übersteigen; dazu gehören insbesondere Einrichtungen, die eine Schul- oder Berufsausbildung anbieten, sowie Jugendbildungsstätten,</w:t>
      </w:r>
    </w:p>
    <w:p>
      <w:r>
        <w:t xml:space="preserve">4. Planung, Anregung, Förderung und Durchführung von Modellvorhaben zur Weiterentwicklung der Jugendhilfe,</w:t>
      </w:r>
    </w:p>
    <w:p>
      <w:r>
        <w:t xml:space="preserve">5. die Beratung des Jugendamtes bei der Gewährung von Hilfen zur Erziehung nach den §§ 32 – 34 SGB VIII, insbesondere bei der Auswahl einer Einrichtung oder der Vermittlung einer Pflegeperson in schwierigen Einzelfällen,</w:t>
      </w:r>
    </w:p>
    <w:p>
      <w:r>
        <w:t xml:space="preserve">6. die Wahrnehmung der Aufgaben zum Schutz von Kindern und Jugendlichen in Einrichtungen (§§ 45 – 48 SGB VIII), gemäß § 15 Absatz 1 AG-KJHG als Pflichtaufgabe zur Erfüllung nach Weisung,</w:t>
      </w:r>
    </w:p>
    <w:p>
      <w:r>
        <w:t xml:space="preserve">7. die Beratung der Träger von Einrichtungen während der Planung und Betriebsführung,</w:t>
      </w:r>
    </w:p>
    <w:p>
      <w:r>
        <w:t xml:space="preserve">8. die Fortbildung von Mitarbeitern und Mitarbeiterinnen der Jugendhilfe,</w:t>
      </w:r>
    </w:p>
    <w:p>
      <w:r>
        <w:t xml:space="preserve">9. Leistungen für Deutsche außerhalb des Geltungsbereiches des SGB VIII (§ 6 Absatz 3 SGB VIII), soweit es sich nicht um die Weitergewährung einer Hilfe handelt,</w:t>
      </w:r>
    </w:p>
    <w:p>
      <w:r>
        <w:t xml:space="preserve">10. die Erteilung der Erlaubnis zur Übernahme von Pflegschaften, Vormundschaften oder Beistandschaften durch einen rechtsfähigen Verein (§ 54 SGB VIII),</w:t>
      </w:r>
    </w:p>
    <w:p>
      <w:r>
        <w:t xml:space="preserve">11. die Adoptionsvermittlung gemäß § 2 AdVermiG als Zentrale Adoptionsstelle.</w:t>
      </w:r>
    </w:p>
    <w:p>
      <w:r>
        <w:t xml:space="preserve">2. Landesjugendhilfeausschuss</w:t>
      </w:r>
    </w:p>
    <w:p>
      <w:r>
        <w:rPr>
          <w:color w:val="555555"/>
          <w:sz w:val="17"/>
        </w:rPr>
        <w:t xml:space="preserve">Zitiervorschlag: § 2 NW_29820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