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NW_29799 (Nordrhein-Westfalen) — Leistungsnachweis</w:t>
      </w:r>
    </w:p>
    <w:p>
      <w:r>
        <w:rPr>
          <w:color w:val="555555"/>
          <w:sz w:val="18"/>
        </w:rPr>
        <w:t xml:space="preserve">VAPaF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Während der Ausbildung ist im theoretischen Ausbildungsabschnitt als Leistungsnachweis die schriftliche Leistungskontrolle zu erbringen (§ 12 Abs. 1).</w:t>
      </w:r>
    </w:p>
    <w:p>
      <w:r>
        <w:t xml:space="preserve">(2) Menschen mit Behinderungen sind - unabhängig von der Zuerkennung einer Schwerbehinderung - bei Leistungsnachweisen und für die Teilnahme an Prüfungen ihrer Behinderung angemessene Erleichterungen zu gewähren. Die Erleichterungen dürfen nicht dazu führen, dass die Anforderungen herabgesetzt werden. Art und Umfang der Erleichterungen sind rechtzeitig mit den Betroffenen zu erörtern.</w:t>
      </w:r>
    </w:p>
    <w:p>
      <w:r>
        <w:rPr>
          <w:color w:val="555555"/>
          <w:sz w:val="17"/>
        </w:rPr>
        <w:t xml:space="preserve">Zitiervorschlag: § 8 NW_29799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https://recht.nulegal.eu/gesetze/NW_29799/8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