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NW_29799 (Nordrhein-Westfalen) — Ermittlung des Prüfungsergebnisses</w:t>
      </w:r>
    </w:p>
    <w:p>
      <w:r>
        <w:rPr>
          <w:color w:val="555555"/>
          <w:sz w:val="18"/>
        </w:rPr>
        <w:t xml:space="preserve">VAPaF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Prüfungsergebnis ermittelt der Prüfungsausschuss auf Grund der Prüfleistungen in der Abschlussprüfung gemäß § 17. Die Gesamtnote der Ausbildung wird rechnerisch ermittelt, indem die Summe der in der mündlichen und praktischen Prüfung erzielten Punktwerte durch zwei geteilt wird.</w:t>
      </w:r>
    </w:p>
    <w:p>
      <w:r>
        <w:t xml:space="preserve">(2) Der Prüfungsausschuss kann von dem nach Absatz 1 ermittelten Ergebnis bis zu einem Punkt abweichen, wenn dadurch die Leistung von Auszubildenden zutreffender gekennzeichnet wird. Die Abweichung ist in der Prüfungsniederschrift zu begründen.</w:t>
      </w:r>
    </w:p>
    <w:p>
      <w:r>
        <w:rPr>
          <w:color w:val="555555"/>
          <w:sz w:val="17"/>
        </w:rPr>
        <w:t xml:space="preserve">Zitiervorschlag: § 22 NW_29799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https://recht.nulegal.eu/gesetze/NW_29799/22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