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NW_29799 (Nordrhein-Westfalen) — Allgemeines, Zweck der Prüfung</w:t>
      </w:r>
    </w:p>
    <w:p>
      <w:r>
        <w:rPr>
          <w:color w:val="555555"/>
          <w:sz w:val="18"/>
        </w:rPr>
        <w:t xml:space="preserve">VAPaF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Abschlussprüfung findet in der Regel innerhalb von vier Wochen nach Abschluss des letzten praktischen Ausbildungsabschnittes gemäß § 10 Abs. 2 Nr. 3 statt.</w:t>
      </w:r>
    </w:p>
    <w:p>
      <w:r>
        <w:t xml:space="preserve">(2) Die Abschlussprüfung dient der Feststellung, ob die zu prüfende Person auf Grund ihrer fachlichen Kenntnisse die Befähigung zur Erfüllung der Aufgaben gemäß Artikel 18 der Verordnung (EU) 2017/625 besitzt.</w:t>
      </w:r>
    </w:p>
    <w:p>
      <w:r>
        <w:rPr>
          <w:color w:val="555555"/>
          <w:sz w:val="17"/>
        </w:rPr>
        <w:t xml:space="preserve">Zitiervorschlag: § 13 NW_29799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https://recht.nulegal.eu/gesetze/NW_29799/13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